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rPr>
          <w:rFonts w:hint="eastAsia" w:ascii="黑体" w:hAnsi="黑体" w:eastAsia="黑体" w:cs="宋体"/>
          <w:color w:val="auto"/>
          <w:kern w:val="0"/>
          <w:sz w:val="32"/>
          <w:szCs w:val="32"/>
        </w:rPr>
      </w:pPr>
      <w:r>
        <w:rPr>
          <w:rFonts w:hint="eastAsia" w:ascii="黑体" w:hAnsi="黑体" w:eastAsia="黑体"/>
          <w:bCs/>
          <w:color w:val="auto"/>
          <w:sz w:val="32"/>
          <w:szCs w:val="32"/>
        </w:rPr>
        <w:t>附件</w:t>
      </w:r>
      <w:r>
        <w:rPr>
          <w:rFonts w:hint="eastAsia" w:ascii="黑体" w:hAnsi="黑体" w:eastAsia="黑体"/>
          <w:bCs/>
          <w:color w:val="auto"/>
          <w:sz w:val="32"/>
          <w:szCs w:val="32"/>
          <w:lang w:val="en-US" w:eastAsia="zh-CN"/>
        </w:rPr>
        <w:t>1</w:t>
      </w:r>
      <w:r>
        <w:rPr>
          <w:rFonts w:hint="eastAsia" w:ascii="黑体" w:hAnsi="黑体" w:eastAsia="黑体"/>
          <w:bCs/>
          <w:color w:val="auto"/>
          <w:sz w:val="32"/>
          <w:szCs w:val="32"/>
        </w:rPr>
        <w:t xml:space="preserve"> </w:t>
      </w:r>
    </w:p>
    <w:p>
      <w:pPr>
        <w:autoSpaceDN w:val="0"/>
        <w:adjustRightInd w:val="0"/>
        <w:snapToGrid w:val="0"/>
        <w:jc w:val="center"/>
        <w:rPr>
          <w:rFonts w:eastAsia="方正小标宋简体"/>
          <w:bCs/>
          <w:sz w:val="44"/>
          <w:szCs w:val="44"/>
        </w:rPr>
      </w:pPr>
      <w:r>
        <w:rPr>
          <w:rFonts w:hint="eastAsia" w:eastAsia="方正小标宋简体"/>
          <w:bCs/>
          <w:sz w:val="44"/>
          <w:szCs w:val="44"/>
        </w:rPr>
        <w:t>2022年芜湖市交通运输局赴全国重点院校公开招聘紧缺专业应届毕业生计划</w:t>
      </w:r>
    </w:p>
    <w:p>
      <w:pPr>
        <w:keepNext w:val="0"/>
        <w:keepLines w:val="0"/>
        <w:pageBreakBefore w:val="0"/>
        <w:kinsoku/>
        <w:wordWrap/>
        <w:overflowPunct/>
        <w:topLinePunct w:val="0"/>
        <w:autoSpaceDE/>
        <w:autoSpaceDN w:val="0"/>
        <w:bidi w:val="0"/>
        <w:adjustRightInd w:val="0"/>
        <w:snapToGrid w:val="0"/>
        <w:spacing w:line="400" w:lineRule="exact"/>
        <w:textAlignment w:val="auto"/>
        <w:rPr>
          <w:rFonts w:eastAsia="方正小标宋简体"/>
          <w:bCs/>
          <w:sz w:val="44"/>
          <w:szCs w:val="44"/>
        </w:rPr>
      </w:pPr>
    </w:p>
    <w:tbl>
      <w:tblPr>
        <w:tblStyle w:val="3"/>
        <w:tblW w:w="14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940"/>
        <w:gridCol w:w="2946"/>
        <w:gridCol w:w="818"/>
        <w:gridCol w:w="886"/>
        <w:gridCol w:w="1200"/>
        <w:gridCol w:w="900"/>
        <w:gridCol w:w="3479"/>
        <w:gridCol w:w="2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964" w:type="dxa"/>
            <w:vMerge w:val="restart"/>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rFonts w:ascii="仿宋_GB2312" w:hAnsi="仿宋_GB2312" w:cs="仿宋_GB2312"/>
                <w:kern w:val="0"/>
                <w:szCs w:val="21"/>
              </w:rPr>
            </w:pPr>
            <w:r>
              <w:rPr>
                <w:rFonts w:hint="eastAsia" w:ascii="仿宋_GB2312" w:hAnsi="仿宋_GB2312" w:cs="仿宋_GB2312"/>
                <w:kern w:val="0"/>
                <w:szCs w:val="21"/>
              </w:rPr>
              <w:t>招聘单位</w:t>
            </w:r>
          </w:p>
        </w:tc>
        <w:tc>
          <w:tcPr>
            <w:tcW w:w="940" w:type="dxa"/>
            <w:vMerge w:val="restart"/>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rFonts w:ascii="仿宋_GB2312" w:hAnsi="仿宋_GB2312" w:cs="仿宋_GB2312"/>
                <w:kern w:val="0"/>
                <w:szCs w:val="21"/>
              </w:rPr>
            </w:pPr>
            <w:r>
              <w:rPr>
                <w:rFonts w:hint="eastAsia" w:ascii="仿宋_GB2312" w:hAnsi="仿宋_GB2312" w:cs="仿宋_GB2312"/>
                <w:kern w:val="0"/>
                <w:szCs w:val="21"/>
              </w:rPr>
              <w:t>招聘人数</w:t>
            </w:r>
          </w:p>
        </w:tc>
        <w:tc>
          <w:tcPr>
            <w:tcW w:w="6750" w:type="dxa"/>
            <w:gridSpan w:val="5"/>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rFonts w:ascii="仿宋_GB2312" w:hAnsi="仿宋_GB2312" w:cs="仿宋_GB2312"/>
                <w:kern w:val="0"/>
                <w:szCs w:val="21"/>
              </w:rPr>
            </w:pPr>
            <w:r>
              <w:rPr>
                <w:rFonts w:hint="eastAsia" w:ascii="仿宋_GB2312" w:hAnsi="仿宋_GB2312" w:cs="仿宋_GB2312"/>
                <w:kern w:val="0"/>
                <w:szCs w:val="21"/>
              </w:rPr>
              <w:t>招聘岗位条件</w:t>
            </w:r>
          </w:p>
        </w:tc>
        <w:tc>
          <w:tcPr>
            <w:tcW w:w="3479" w:type="dxa"/>
            <w:vMerge w:val="restart"/>
            <w:tcMar>
              <w:left w:w="28" w:type="dxa"/>
              <w:right w:w="28" w:type="dxa"/>
            </w:tcMar>
            <w:vAlign w:val="center"/>
          </w:tcPr>
          <w:p>
            <w:pPr>
              <w:keepNext w:val="0"/>
              <w:keepLines w:val="0"/>
              <w:pageBreakBefore w:val="0"/>
              <w:widowControl/>
              <w:kinsoku/>
              <w:wordWrap/>
              <w:overflowPunct/>
              <w:topLinePunct w:val="0"/>
              <w:autoSpaceDE/>
              <w:bidi w:val="0"/>
              <w:spacing w:line="400" w:lineRule="exact"/>
              <w:jc w:val="center"/>
              <w:textAlignment w:val="auto"/>
              <w:rPr>
                <w:rFonts w:ascii="仿宋_GB2312" w:hAnsi="仿宋_GB2312" w:cs="仿宋_GB2312"/>
                <w:b/>
                <w:kern w:val="0"/>
                <w:sz w:val="18"/>
                <w:szCs w:val="18"/>
              </w:rPr>
            </w:pPr>
            <w:r>
              <w:rPr>
                <w:rFonts w:hint="eastAsia" w:ascii="仿宋_GB2312" w:hAnsi="仿宋_GB2312" w:cs="仿宋_GB2312"/>
                <w:bCs/>
                <w:kern w:val="0"/>
                <w:szCs w:val="21"/>
              </w:rPr>
              <w:t>招聘院校</w:t>
            </w:r>
          </w:p>
        </w:tc>
        <w:tc>
          <w:tcPr>
            <w:tcW w:w="2615" w:type="dxa"/>
            <w:vMerge w:val="restart"/>
            <w:tcMar>
              <w:left w:w="28" w:type="dxa"/>
              <w:right w:w="28" w:type="dxa"/>
            </w:tcMar>
            <w:vAlign w:val="center"/>
          </w:tcPr>
          <w:p>
            <w:pPr>
              <w:keepNext w:val="0"/>
              <w:keepLines w:val="0"/>
              <w:pageBreakBefore w:val="0"/>
              <w:widowControl/>
              <w:kinsoku/>
              <w:wordWrap/>
              <w:overflowPunct/>
              <w:topLinePunct w:val="0"/>
              <w:autoSpaceDE/>
              <w:bidi w:val="0"/>
              <w:spacing w:line="400" w:lineRule="exact"/>
              <w:jc w:val="center"/>
              <w:textAlignment w:val="auto"/>
              <w:rPr>
                <w:rFonts w:ascii="仿宋_GB2312" w:hAnsi="仿宋_GB2312" w:cs="仿宋_GB2312"/>
                <w:bCs/>
                <w:kern w:val="0"/>
                <w:szCs w:val="21"/>
              </w:rPr>
            </w:pPr>
            <w:r>
              <w:rPr>
                <w:rFonts w:hint="eastAsia" w:ascii="仿宋_GB2312" w:hAnsi="仿宋_GB2312" w:cs="仿宋_GB2312"/>
                <w:bCs/>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64" w:type="dxa"/>
            <w:vMerge w:val="continue"/>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rFonts w:ascii="仿宋_GB2312" w:hAnsi="仿宋_GB2312" w:cs="仿宋_GB2312"/>
                <w:kern w:val="0"/>
                <w:szCs w:val="21"/>
              </w:rPr>
            </w:pPr>
          </w:p>
        </w:tc>
        <w:tc>
          <w:tcPr>
            <w:tcW w:w="940" w:type="dxa"/>
            <w:vMerge w:val="continue"/>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rFonts w:ascii="仿宋_GB2312" w:hAnsi="仿宋_GB2312" w:cs="仿宋_GB2312"/>
                <w:kern w:val="0"/>
                <w:szCs w:val="21"/>
              </w:rPr>
            </w:pPr>
          </w:p>
        </w:tc>
        <w:tc>
          <w:tcPr>
            <w:tcW w:w="2946"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rFonts w:ascii="仿宋_GB2312" w:hAnsi="仿宋_GB2312" w:cs="仿宋_GB2312"/>
                <w:kern w:val="0"/>
                <w:szCs w:val="21"/>
              </w:rPr>
            </w:pPr>
            <w:r>
              <w:rPr>
                <w:rFonts w:hint="eastAsia" w:ascii="仿宋_GB2312" w:hAnsi="仿宋_GB2312" w:cs="仿宋_GB2312"/>
                <w:kern w:val="0"/>
                <w:szCs w:val="21"/>
              </w:rPr>
              <w:t>专业</w:t>
            </w:r>
          </w:p>
        </w:tc>
        <w:tc>
          <w:tcPr>
            <w:tcW w:w="818"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rFonts w:ascii="仿宋_GB2312" w:hAnsi="仿宋_GB2312" w:cs="仿宋_GB2312"/>
                <w:kern w:val="0"/>
                <w:szCs w:val="21"/>
              </w:rPr>
            </w:pPr>
            <w:r>
              <w:rPr>
                <w:rFonts w:hint="eastAsia" w:ascii="仿宋_GB2312" w:hAnsi="仿宋_GB2312" w:cs="仿宋_GB2312"/>
                <w:kern w:val="0"/>
                <w:szCs w:val="21"/>
              </w:rPr>
              <w:t>学历</w:t>
            </w:r>
          </w:p>
        </w:tc>
        <w:tc>
          <w:tcPr>
            <w:tcW w:w="886" w:type="dxa"/>
            <w:vAlign w:val="center"/>
          </w:tcPr>
          <w:p>
            <w:pPr>
              <w:keepNext w:val="0"/>
              <w:keepLines w:val="0"/>
              <w:pageBreakBefore w:val="0"/>
              <w:kinsoku/>
              <w:wordWrap/>
              <w:overflowPunct/>
              <w:topLinePunct w:val="0"/>
              <w:autoSpaceDE/>
              <w:bidi w:val="0"/>
              <w:spacing w:line="400" w:lineRule="exact"/>
              <w:jc w:val="center"/>
              <w:textAlignment w:val="auto"/>
              <w:rPr>
                <w:rFonts w:ascii="仿宋_GB2312" w:hAnsi="仿宋_GB2312" w:cs="仿宋_GB2312"/>
                <w:kern w:val="0"/>
                <w:szCs w:val="21"/>
              </w:rPr>
            </w:pPr>
            <w:r>
              <w:rPr>
                <w:rFonts w:hint="eastAsia" w:ascii="仿宋_GB2312" w:hAnsi="仿宋_GB2312" w:cs="仿宋_GB2312"/>
                <w:kern w:val="0"/>
                <w:szCs w:val="21"/>
              </w:rPr>
              <w:t>学位</w:t>
            </w:r>
          </w:p>
        </w:tc>
        <w:tc>
          <w:tcPr>
            <w:tcW w:w="1200"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rFonts w:ascii="仿宋_GB2312" w:hAnsi="仿宋_GB2312" w:cs="仿宋_GB2312"/>
                <w:kern w:val="0"/>
                <w:szCs w:val="21"/>
              </w:rPr>
            </w:pPr>
            <w:r>
              <w:rPr>
                <w:rFonts w:hint="eastAsia" w:ascii="仿宋_GB2312" w:hAnsi="仿宋_GB2312" w:cs="仿宋_GB2312"/>
                <w:kern w:val="0"/>
                <w:szCs w:val="21"/>
              </w:rPr>
              <w:t>岗位</w:t>
            </w:r>
          </w:p>
          <w:p>
            <w:pPr>
              <w:keepNext w:val="0"/>
              <w:keepLines w:val="0"/>
              <w:pageBreakBefore w:val="0"/>
              <w:kinsoku/>
              <w:wordWrap/>
              <w:overflowPunct/>
              <w:topLinePunct w:val="0"/>
              <w:autoSpaceDE/>
              <w:bidi w:val="0"/>
              <w:spacing w:line="400" w:lineRule="exact"/>
              <w:jc w:val="center"/>
              <w:textAlignment w:val="auto"/>
              <w:rPr>
                <w:rFonts w:ascii="仿宋_GB2312" w:hAnsi="仿宋_GB2312" w:cs="仿宋_GB2312"/>
                <w:kern w:val="0"/>
                <w:szCs w:val="21"/>
              </w:rPr>
            </w:pPr>
            <w:r>
              <w:rPr>
                <w:rFonts w:hint="eastAsia" w:ascii="仿宋_GB2312" w:hAnsi="仿宋_GB2312" w:cs="仿宋_GB2312"/>
                <w:kern w:val="0"/>
                <w:szCs w:val="21"/>
              </w:rPr>
              <w:t>名称</w:t>
            </w:r>
          </w:p>
        </w:tc>
        <w:tc>
          <w:tcPr>
            <w:tcW w:w="900"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rFonts w:ascii="仿宋_GB2312" w:hAnsi="仿宋_GB2312" w:cs="仿宋_GB2312"/>
                <w:kern w:val="0"/>
                <w:szCs w:val="21"/>
              </w:rPr>
            </w:pPr>
            <w:r>
              <w:rPr>
                <w:rFonts w:hint="eastAsia" w:ascii="仿宋_GB2312" w:hAnsi="仿宋_GB2312" w:cs="仿宋_GB2312"/>
                <w:kern w:val="0"/>
                <w:szCs w:val="21"/>
              </w:rPr>
              <w:t>年龄</w:t>
            </w:r>
          </w:p>
        </w:tc>
        <w:tc>
          <w:tcPr>
            <w:tcW w:w="3479" w:type="dxa"/>
            <w:vMerge w:val="continue"/>
            <w:tcMar>
              <w:left w:w="28" w:type="dxa"/>
              <w:right w:w="28" w:type="dxa"/>
            </w:tcMar>
            <w:vAlign w:val="center"/>
          </w:tcPr>
          <w:p>
            <w:pPr>
              <w:keepNext w:val="0"/>
              <w:keepLines w:val="0"/>
              <w:pageBreakBefore w:val="0"/>
              <w:widowControl/>
              <w:kinsoku/>
              <w:wordWrap/>
              <w:overflowPunct/>
              <w:topLinePunct w:val="0"/>
              <w:autoSpaceDE/>
              <w:bidi w:val="0"/>
              <w:spacing w:line="400" w:lineRule="exact"/>
              <w:jc w:val="center"/>
              <w:textAlignment w:val="auto"/>
              <w:rPr>
                <w:rFonts w:ascii="仿宋_GB2312" w:hAnsi="仿宋_GB2312" w:cs="仿宋_GB2312"/>
                <w:b/>
                <w:kern w:val="0"/>
                <w:sz w:val="18"/>
                <w:szCs w:val="18"/>
              </w:rPr>
            </w:pPr>
          </w:p>
        </w:tc>
        <w:tc>
          <w:tcPr>
            <w:tcW w:w="2615" w:type="dxa"/>
            <w:vMerge w:val="continue"/>
            <w:tcMar>
              <w:left w:w="28" w:type="dxa"/>
              <w:right w:w="28" w:type="dxa"/>
            </w:tcMar>
            <w:vAlign w:val="center"/>
          </w:tcPr>
          <w:p>
            <w:pPr>
              <w:keepNext w:val="0"/>
              <w:keepLines w:val="0"/>
              <w:pageBreakBefore w:val="0"/>
              <w:widowControl/>
              <w:kinsoku/>
              <w:wordWrap/>
              <w:overflowPunct/>
              <w:topLinePunct w:val="0"/>
              <w:autoSpaceDE/>
              <w:bidi w:val="0"/>
              <w:spacing w:line="400" w:lineRule="exact"/>
              <w:jc w:val="center"/>
              <w:textAlignment w:val="auto"/>
              <w:rPr>
                <w:rFonts w:ascii="仿宋_GB2312" w:hAnsi="仿宋_GB2312" w:cs="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964" w:type="dxa"/>
            <w:vMerge w:val="restart"/>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szCs w:val="32"/>
              </w:rPr>
              <w:t>芜湖市交通运输综合行政执法支队</w:t>
            </w:r>
          </w:p>
        </w:tc>
        <w:tc>
          <w:tcPr>
            <w:tcW w:w="940"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szCs w:val="32"/>
              </w:rPr>
              <w:t>2</w:t>
            </w:r>
          </w:p>
        </w:tc>
        <w:tc>
          <w:tcPr>
            <w:tcW w:w="2946"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szCs w:val="32"/>
              </w:rPr>
              <w:t>海事管理专业</w:t>
            </w:r>
          </w:p>
        </w:tc>
        <w:tc>
          <w:tcPr>
            <w:tcW w:w="818"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szCs w:val="32"/>
              </w:rPr>
              <w:t>本科及以上</w:t>
            </w:r>
          </w:p>
        </w:tc>
        <w:tc>
          <w:tcPr>
            <w:tcW w:w="886" w:type="dxa"/>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szCs w:val="32"/>
              </w:rPr>
              <w:t>学士及以上</w:t>
            </w:r>
          </w:p>
        </w:tc>
        <w:tc>
          <w:tcPr>
            <w:tcW w:w="1200"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szCs w:val="32"/>
              </w:rPr>
              <w:t>管理岗位</w:t>
            </w:r>
          </w:p>
        </w:tc>
        <w:tc>
          <w:tcPr>
            <w:tcW w:w="900"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szCs w:val="32"/>
              </w:rPr>
              <w:t>35周岁以下</w:t>
            </w:r>
          </w:p>
        </w:tc>
        <w:tc>
          <w:tcPr>
            <w:tcW w:w="3479"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rFonts w:hint="default" w:ascii="仿宋_GB2312" w:hAnsi="仿宋_GB2312" w:eastAsia="仿宋_GB2312" w:cs="仿宋_GB2312"/>
                <w:kern w:val="0"/>
                <w:szCs w:val="21"/>
                <w:lang w:val="en-US" w:eastAsia="zh-CN"/>
              </w:rPr>
            </w:pPr>
            <w:r>
              <w:rPr>
                <w:rFonts w:hint="eastAsia" w:ascii="仿宋_GB2312" w:hAnsi="仿宋_GB2312" w:cs="仿宋_GB2312"/>
                <w:kern w:val="0"/>
                <w:szCs w:val="21"/>
                <w:lang w:val="en-US" w:eastAsia="zh-CN"/>
              </w:rPr>
              <w:t>武汉理工大学</w:t>
            </w:r>
          </w:p>
        </w:tc>
        <w:tc>
          <w:tcPr>
            <w:tcW w:w="2615" w:type="dxa"/>
            <w:tcMar>
              <w:left w:w="28" w:type="dxa"/>
              <w:right w:w="28" w:type="dxa"/>
            </w:tcMar>
            <w:vAlign w:val="center"/>
          </w:tcPr>
          <w:p>
            <w:pPr>
              <w:keepNext w:val="0"/>
              <w:keepLines w:val="0"/>
              <w:pageBreakBefore w:val="0"/>
              <w:kinsoku/>
              <w:wordWrap/>
              <w:overflowPunct/>
              <w:topLinePunct w:val="0"/>
              <w:autoSpaceDE/>
              <w:bidi w:val="0"/>
              <w:spacing w:line="400" w:lineRule="exact"/>
              <w:jc w:val="left"/>
              <w:textAlignment w:val="auto"/>
              <w:rPr>
                <w:rFonts w:ascii="仿宋_GB2312" w:hAnsi="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jc w:val="center"/>
        </w:trPr>
        <w:tc>
          <w:tcPr>
            <w:tcW w:w="964" w:type="dxa"/>
            <w:vMerge w:val="continue"/>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szCs w:val="32"/>
              </w:rPr>
            </w:pPr>
          </w:p>
        </w:tc>
        <w:tc>
          <w:tcPr>
            <w:tcW w:w="940"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szCs w:val="32"/>
              </w:rPr>
              <w:t>1</w:t>
            </w:r>
          </w:p>
        </w:tc>
        <w:tc>
          <w:tcPr>
            <w:tcW w:w="2946"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szCs w:val="32"/>
              </w:rPr>
              <w:t>港口航道与海岸工程专业</w:t>
            </w:r>
          </w:p>
        </w:tc>
        <w:tc>
          <w:tcPr>
            <w:tcW w:w="818"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szCs w:val="32"/>
              </w:rPr>
              <w:t>本科及以上</w:t>
            </w:r>
          </w:p>
        </w:tc>
        <w:tc>
          <w:tcPr>
            <w:tcW w:w="886" w:type="dxa"/>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szCs w:val="32"/>
              </w:rPr>
              <w:t>学士及以上</w:t>
            </w:r>
          </w:p>
        </w:tc>
        <w:tc>
          <w:tcPr>
            <w:tcW w:w="1200"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szCs w:val="32"/>
              </w:rPr>
              <w:t>专业技术岗位</w:t>
            </w:r>
          </w:p>
        </w:tc>
        <w:tc>
          <w:tcPr>
            <w:tcW w:w="900"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szCs w:val="32"/>
              </w:rPr>
              <w:t>35周岁以下</w:t>
            </w:r>
          </w:p>
        </w:tc>
        <w:tc>
          <w:tcPr>
            <w:tcW w:w="3479"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rFonts w:ascii="仿宋_GB2312" w:hAnsi="宋体" w:cs="宋体"/>
                <w:kern w:val="0"/>
                <w:szCs w:val="21"/>
              </w:rPr>
            </w:pPr>
            <w:r>
              <w:rPr>
                <w:rFonts w:hint="eastAsia" w:ascii="仿宋_GB2312" w:hAnsi="仿宋_GB2312" w:cs="仿宋_GB2312"/>
                <w:kern w:val="0"/>
                <w:szCs w:val="21"/>
                <w:lang w:val="en-US" w:eastAsia="zh-CN"/>
              </w:rPr>
              <w:t>武汉理工大学</w:t>
            </w:r>
          </w:p>
        </w:tc>
        <w:tc>
          <w:tcPr>
            <w:tcW w:w="2615" w:type="dxa"/>
            <w:tcMar>
              <w:left w:w="28" w:type="dxa"/>
              <w:right w:w="28" w:type="dxa"/>
            </w:tcMar>
            <w:vAlign w:val="center"/>
          </w:tcPr>
          <w:p>
            <w:pPr>
              <w:keepNext w:val="0"/>
              <w:keepLines w:val="0"/>
              <w:pageBreakBefore w:val="0"/>
              <w:kinsoku/>
              <w:wordWrap/>
              <w:overflowPunct/>
              <w:topLinePunct w:val="0"/>
              <w:autoSpaceDE/>
              <w:bidi w:val="0"/>
              <w:spacing w:line="400" w:lineRule="exact"/>
              <w:jc w:val="left"/>
              <w:textAlignment w:val="auto"/>
              <w:rPr>
                <w:rFonts w:ascii="仿宋_GB2312"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964" w:type="dxa"/>
            <w:vMerge w:val="continue"/>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szCs w:val="32"/>
              </w:rPr>
            </w:pPr>
          </w:p>
        </w:tc>
        <w:tc>
          <w:tcPr>
            <w:tcW w:w="940"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szCs w:val="32"/>
              </w:rPr>
              <w:t>1</w:t>
            </w:r>
          </w:p>
        </w:tc>
        <w:tc>
          <w:tcPr>
            <w:tcW w:w="2946"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szCs w:val="32"/>
              </w:rPr>
              <w:t>油气储运工程专业</w:t>
            </w:r>
          </w:p>
        </w:tc>
        <w:tc>
          <w:tcPr>
            <w:tcW w:w="818"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szCs w:val="32"/>
              </w:rPr>
              <w:t>本科及以上</w:t>
            </w:r>
          </w:p>
        </w:tc>
        <w:tc>
          <w:tcPr>
            <w:tcW w:w="886" w:type="dxa"/>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szCs w:val="32"/>
              </w:rPr>
              <w:t>学士及以上</w:t>
            </w:r>
          </w:p>
        </w:tc>
        <w:tc>
          <w:tcPr>
            <w:tcW w:w="1200"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szCs w:val="32"/>
              </w:rPr>
              <w:t>专业技术岗位</w:t>
            </w:r>
          </w:p>
        </w:tc>
        <w:tc>
          <w:tcPr>
            <w:tcW w:w="900"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szCs w:val="32"/>
              </w:rPr>
              <w:t>35周岁以下</w:t>
            </w:r>
          </w:p>
        </w:tc>
        <w:tc>
          <w:tcPr>
            <w:tcW w:w="3479"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szCs w:val="32"/>
              </w:rPr>
            </w:pPr>
            <w:r>
              <w:rPr>
                <w:rFonts w:hint="eastAsia" w:ascii="仿宋_GB2312" w:hAnsi="仿宋_GB2312" w:cs="仿宋_GB2312"/>
                <w:kern w:val="0"/>
                <w:szCs w:val="21"/>
                <w:lang w:val="en-US" w:eastAsia="zh-CN"/>
              </w:rPr>
              <w:t>武汉理工大学</w:t>
            </w:r>
          </w:p>
        </w:tc>
        <w:tc>
          <w:tcPr>
            <w:tcW w:w="2615" w:type="dxa"/>
            <w:tcMar>
              <w:left w:w="28" w:type="dxa"/>
              <w:right w:w="28" w:type="dxa"/>
            </w:tcMar>
            <w:vAlign w:val="center"/>
          </w:tcPr>
          <w:p>
            <w:pPr>
              <w:keepNext w:val="0"/>
              <w:keepLines w:val="0"/>
              <w:pageBreakBefore w:val="0"/>
              <w:kinsoku/>
              <w:wordWrap/>
              <w:overflowPunct/>
              <w:topLinePunct w:val="0"/>
              <w:autoSpaceDE/>
              <w:bidi w:val="0"/>
              <w:spacing w:line="400" w:lineRule="exact"/>
              <w:jc w:val="left"/>
              <w:textAlignment w:val="auto"/>
              <w:rPr>
                <w:rFonts w:ascii="仿宋_GB2312"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964"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rFonts w:ascii="仿宋_GB2312" w:hAnsi="仿宋_GB2312" w:cs="仿宋_GB2312"/>
                <w:kern w:val="0"/>
                <w:szCs w:val="21"/>
              </w:rPr>
            </w:pPr>
            <w:r>
              <w:rPr>
                <w:rFonts w:hint="eastAsia" w:ascii="仿宋_GB2312" w:hAnsi="仿宋_GB2312" w:cs="仿宋_GB2312"/>
                <w:kern w:val="0"/>
                <w:szCs w:val="21"/>
              </w:rPr>
              <w:t>合计</w:t>
            </w:r>
          </w:p>
        </w:tc>
        <w:tc>
          <w:tcPr>
            <w:tcW w:w="940" w:type="dxa"/>
            <w:tcMar>
              <w:left w:w="28" w:type="dxa"/>
              <w:right w:w="28" w:type="dxa"/>
            </w:tcMar>
            <w:vAlign w:val="center"/>
          </w:tcPr>
          <w:p>
            <w:pPr>
              <w:keepNext w:val="0"/>
              <w:keepLines w:val="0"/>
              <w:pageBreakBefore w:val="0"/>
              <w:kinsoku/>
              <w:wordWrap/>
              <w:overflowPunct/>
              <w:topLinePunct w:val="0"/>
              <w:autoSpaceDE/>
              <w:bidi w:val="0"/>
              <w:spacing w:line="400" w:lineRule="exact"/>
              <w:jc w:val="center"/>
              <w:textAlignment w:val="auto"/>
              <w:rPr>
                <w:rFonts w:ascii="仿宋_GB2312" w:hAnsi="仿宋_GB2312" w:cs="仿宋_GB2312"/>
                <w:kern w:val="0"/>
                <w:szCs w:val="21"/>
              </w:rPr>
            </w:pPr>
            <w:r>
              <w:rPr>
                <w:rFonts w:hint="eastAsia" w:ascii="仿宋_GB2312" w:hAnsi="仿宋_GB2312" w:cs="仿宋_GB2312"/>
                <w:kern w:val="0"/>
                <w:szCs w:val="21"/>
              </w:rPr>
              <w:t xml:space="preserve"> </w:t>
            </w:r>
            <w:r>
              <w:rPr>
                <w:rFonts w:hint="eastAsia" w:ascii="仿宋_GB2312" w:hAnsi="仿宋_GB2312" w:cs="仿宋_GB2312"/>
                <w:kern w:val="0"/>
                <w:szCs w:val="21"/>
                <w:lang w:val="en-US" w:eastAsia="zh-CN"/>
              </w:rPr>
              <w:t>4</w:t>
            </w:r>
            <w:r>
              <w:rPr>
                <w:rFonts w:hint="eastAsia" w:ascii="仿宋_GB2312" w:hAnsi="仿宋_GB2312" w:cs="仿宋_GB2312"/>
                <w:kern w:val="0"/>
                <w:szCs w:val="21"/>
              </w:rPr>
              <w:t>人</w:t>
            </w:r>
          </w:p>
        </w:tc>
        <w:tc>
          <w:tcPr>
            <w:tcW w:w="10229" w:type="dxa"/>
            <w:gridSpan w:val="6"/>
            <w:tcMar>
              <w:left w:w="28" w:type="dxa"/>
              <w:right w:w="28" w:type="dxa"/>
            </w:tcMar>
            <w:vAlign w:val="center"/>
          </w:tcPr>
          <w:p>
            <w:pPr>
              <w:keepNext w:val="0"/>
              <w:keepLines w:val="0"/>
              <w:pageBreakBefore w:val="0"/>
              <w:widowControl/>
              <w:kinsoku/>
              <w:wordWrap/>
              <w:overflowPunct/>
              <w:topLinePunct w:val="0"/>
              <w:autoSpaceDE/>
              <w:bidi w:val="0"/>
              <w:spacing w:line="400" w:lineRule="exact"/>
              <w:jc w:val="left"/>
              <w:textAlignment w:val="auto"/>
              <w:rPr>
                <w:rFonts w:ascii="仿宋_GB2312" w:hAnsi="宋体" w:cs="宋体"/>
                <w:kern w:val="0"/>
                <w:szCs w:val="21"/>
              </w:rPr>
            </w:pPr>
          </w:p>
        </w:tc>
        <w:tc>
          <w:tcPr>
            <w:tcW w:w="2615" w:type="dxa"/>
            <w:tcMar>
              <w:left w:w="28" w:type="dxa"/>
              <w:right w:w="28" w:type="dxa"/>
            </w:tcMar>
            <w:vAlign w:val="center"/>
          </w:tcPr>
          <w:p>
            <w:pPr>
              <w:keepNext w:val="0"/>
              <w:keepLines w:val="0"/>
              <w:pageBreakBefore w:val="0"/>
              <w:widowControl/>
              <w:kinsoku/>
              <w:wordWrap/>
              <w:overflowPunct/>
              <w:topLinePunct w:val="0"/>
              <w:autoSpaceDE/>
              <w:bidi w:val="0"/>
              <w:spacing w:line="400" w:lineRule="exact"/>
              <w:jc w:val="left"/>
              <w:textAlignment w:val="auto"/>
              <w:rPr>
                <w:rFonts w:ascii="仿宋_GB2312" w:hAnsi="宋体" w:cs="宋体"/>
                <w:kern w:val="0"/>
                <w:szCs w:val="21"/>
              </w:rPr>
            </w:pPr>
          </w:p>
        </w:tc>
      </w:tr>
    </w:tbl>
    <w:p>
      <w:pPr>
        <w:keepNext w:val="0"/>
        <w:keepLines w:val="0"/>
        <w:pageBreakBefore w:val="0"/>
        <w:widowControl w:val="0"/>
        <w:kinsoku/>
        <w:wordWrap/>
        <w:overflowPunct/>
        <w:topLinePunct w:val="0"/>
        <w:autoSpaceDE/>
        <w:autoSpaceDN/>
        <w:bidi w:val="0"/>
        <w:adjustRightInd/>
        <w:snapToGrid/>
        <w:spacing w:line="240" w:lineRule="exact"/>
        <w:textAlignment w:val="auto"/>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1661C2"/>
    <w:rsid w:val="61166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basedOn w:val="1"/>
    <w:next w:val="1"/>
    <w:unhideWhenUsed/>
    <w:qFormat/>
    <w:uiPriority w:val="0"/>
    <w:pPr>
      <w:spacing w:line="520" w:lineRule="exact"/>
      <w:ind w:left="798" w:leftChars="380"/>
      <w:jc w:val="left"/>
    </w:pPr>
    <w:rPr>
      <w:rFonts w:hint="eastAsia" w:ascii="仿宋_GB2312" w:hAnsi="Tahoma"/>
      <w:color w:val="000000"/>
      <w:sz w:val="21"/>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2021-11-24T07:59:00Z</dcterms:created>
  <dc:creator>芒果仙人</dc:creator>
  <cp:lastModifiedBy>芒果仙人</cp:lastModifiedBy>
  <dcterms:modified xsi:type="dcterms:W3CDTF">2021-11-24T08:00:06Z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52D94505DF644BDFA76035F628E44BC5</vt:lpwstr>
  </property>
</Properties>
</file>